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“百城联动、千村覆盖、万人响应”引工宣传(二次)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CGXM-2025-350101-02592[2025]00919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[350101]FJSXY[CS]2025003-1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福州市人力资源和社会保障局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福建省贤阅项目管理有限公司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福州市人力资源和社会保障局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“百城联动、千村覆盖、万人响应”引工宣传(二次)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福建省贤阅项目管理有限公司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“百城联动、千村覆盖、万人响应”引工宣传(二次)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CGXM-2025-350101-02592[2025]00919</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[350101]FJSXY[CS]2025003-1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492,000.00</w:t>
      </w:r>
    </w:p>
    <w:p>
      <w:pPr>
        <w:pStyle w:val="null3"/>
        <w:jc w:val="left"/>
      </w:pPr>
      <w:r>
        <w:rPr>
          <w:rFonts w:ascii="仿宋_GB2312" w:hAnsi="仿宋_GB2312" w:cs="仿宋_GB2312" w:eastAsia="仿宋_GB2312"/>
        </w:rPr>
        <w:t>采购包最高限价（元）: 492,000.00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“百城联动、千村覆盖、万人响应”引工宣传</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492,000.00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“百城联动、千村覆盖、万人响应”引工宣传</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“百城联动、千村覆盖、万人响应”引工宣传</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“百城联动、千村覆盖、万人响应”引工宣传</w:t>
            </w:r>
          </w:p>
        </w:tc>
        <w:tc>
          <w:tcPr>
            <w:tcW w:type="dxa" w:w="2076"/>
          </w:tcPr>
          <w:p>
            <w:pPr>
              <w:pStyle w:val="null3"/>
              <w:jc w:val="left"/>
            </w:pPr>
            <w:r>
              <w:rPr>
                <w:rFonts w:ascii="仿宋_GB2312" w:hAnsi="仿宋_GB2312" w:cs="仿宋_GB2312" w:eastAsia="仿宋_GB2312"/>
              </w:rPr>
              <w:t>“百城联动、千村覆盖、万人响应”引工宣传</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492,000.00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本项目专门面向中小企业采购，中小企业参与磋商的应按以下要求提供相关证明材料： 1、供应商提供的货物、服务或工程应符合《政府采购促进中小企业发展管理办法》（财库〔2020〕46号）第四条规定的情形，且应当提供《政府采购促进中小企业发展管理办法》（财库〔2020〕46号）规定的《中小企业声明函》。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格式见第五章《响应文件格式》。本项目属于服务类，采购标的对应的中小企业划分标准所属行业为租赁和商务服务业，供应商应填写《中小企业声明函》（服务）模板，格式见第五章《首次响应文件格式》。</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福州市人力资源和社会保障局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福州市仓山区南江滨西大道193号1栋5，6，7，9层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施泽楠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87305703</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福建省贤阅项目管理有限公司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福州市晋安区岳峰镇金鸡山路59号鼎鑫创意园D区301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陈晓宏、叶俊捷、陈佳怡、林文哲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0591-87529626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福建省贤阅项目管理有限公司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本项目专门面向中小企业采购，中小企业参与磋商的应按以下要求提供相关证明材料： 1、供应商提供的货物、服务或工程应符合《政府采购促进中小企业发展管理办法》（财库〔2020〕46号）第四条规定的情形，且应当提供《政府采购促进中小企业发展管理办法》（财库〔2020〕46号）规定的《中小企业声明函》。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格式见第五章《响应文件格式》。本项目属于服务类，采购标的对应的中小企业划分标准所属行业为租赁和商务服务业，供应商应填写《中小企业声明函》（服务）模板，格式见第五章《首次响应文件格式》。</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代理服务费收费标准：①以成交金额作为收费的计算基数，按差额定率累进法计算； ②收费费率标准：成交金额在100万元以下的部分，收费费率标准1.5%；（代理服务费不足5000元按5000元收取）③成交供应商应在领取成交通知书的同时按规定的标准一次性向招标代理机构缴交招标代理服务费；招标代理服务费以银行转账、电汇或汇票等付款方式。代理服务费缴交账号：开户名：福建省贤阅项目管理有限公司，开户行：招商银行股份有限公司福州古田支行，账号：591907681710101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2.2）远程开标的规定：①本项目支持远程开标，供应商可通过远程线上参与开标，具体系统操作指南详见福建省政府采购网首页上相关操作手册。②本项目开标过程中解密及远程签章的操作时限均为30分钟，请供应商务必密切关注实时开标流程，完成远程解密、远程签章。③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④在开标过程中，因系统故障等导致无法继续进行开标的，供应商须配合等待故障处理，待故障解除后继续开标。</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提供财务状况报告（财务报告、或资信证明）：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提供财务状况报告（财务报告、或资信证明）：①供应商提供的财务报告复印件（成立年限按照提交响应文件截止时间推算）应符合下列规定：a.成立年限满1年及以上的供应商，提供经审计的2023年度或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1在电子响应文件中，涉及“单位负责人签字”的内容可使用打字录入方式完成，不视为无效响应。a2磋商文件中关于供应商串通投标情形条款详见《关于福建省财政厅关于电子化政府采购项目中视为串标情形认定与处理的指导意见》闽财购〔2018〕30 号文件规定。</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1、技术和服务要求响应</w:t>
            </w:r>
          </w:p>
        </w:tc>
        <w:tc>
          <w:tcPr>
            <w:tcW w:type="dxa" w:w="831"/>
          </w:tcPr>
          <w:p>
            <w:pPr>
              <w:pStyle w:val="null3"/>
              <w:jc w:val="right"/>
            </w:pPr>
            <w:r>
              <w:rPr>
                <w:rFonts w:ascii="仿宋_GB2312" w:hAnsi="仿宋_GB2312" w:cs="仿宋_GB2312" w:eastAsia="仿宋_GB2312"/>
              </w:rPr>
              <w:t>57.00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磋商文件第三章“技术要求”中的各项要求的响应情况，由评委进行评分：完全满足磋商文件要求的得57分，其中标注“★”号的技术要求（共计2项）为不允许负偏离的实质性要求，若出现负偏离视为无效响应；未标注“★”号的技术要求每负偏离一项扣3分，共19项，共计57分，扣完为止，正偏离不加分。磋商文件技术要求中若有要求提供相应佐证材料的，若供应商未提供或响应承诺与其提供的佐证材料不一致的，磋商小组将以不利于供应商的内容为准进行评审。</w:t>
            </w:r>
          </w:p>
        </w:tc>
      </w:tr>
      <w:tr>
        <w:tc>
          <w:tcPr>
            <w:tcW w:type="dxa" w:w="3322"/>
          </w:tcPr>
          <w:p>
            <w:pPr>
              <w:pStyle w:val="null3"/>
              <w:jc w:val="left"/>
            </w:pPr>
            <w:r>
              <w:rPr>
                <w:rFonts w:ascii="仿宋_GB2312" w:hAnsi="仿宋_GB2312" w:cs="仿宋_GB2312" w:eastAsia="仿宋_GB2312"/>
              </w:rPr>
              <w:t>2、宣传推广服务方案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宣传推广服务方案【包括但不限于：①是否拥有良好的媒体资源、②能否有效整合平台资源进行宣传推广、推广计划等】，由评委进行评分：方案包含的要点齐全无缺漏项、内容与要点相符、各要点均有展开详细阐述、针对性强、可实施性高、切合项目实际情况的得3分；方案包含的要点齐全无缺漏项、针对性较强、可实施性较高，内容与要点相符且均有展开阐述，虽然没有特别具体但总体符合项目实际情况的得2.7分；方案包含的要点有缺漏或要点无缺漏但仅有纲要、内容简略、未展开详细阐述、基本能够适用于本项目的得2.4分；未提供方案的不得分。</w:t>
            </w:r>
          </w:p>
        </w:tc>
      </w:tr>
      <w:tr>
        <w:tc>
          <w:tcPr>
            <w:tcW w:type="dxa" w:w="3322"/>
          </w:tcPr>
          <w:p>
            <w:pPr>
              <w:pStyle w:val="null3"/>
              <w:jc w:val="left"/>
            </w:pPr>
            <w:r>
              <w:rPr>
                <w:rFonts w:ascii="仿宋_GB2312" w:hAnsi="仿宋_GB2312" w:cs="仿宋_GB2312" w:eastAsia="仿宋_GB2312"/>
              </w:rPr>
              <w:t>3、团队架构</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拟投入的团队架构情况（包含但不限于：①分工架构、②服务流程、③人员部署、④岗位职责），由评委进行评分：具备成熟完善的分工架构和服务流程，对项目人员有明确部署与岗位职责分工，能够适用于本项目的得3分；基本具备成熟完善的分工架构和服务流程，对项目人员有部署，岗位职责分工较明确，基本能够适用于本项目的得2.7分；分工架构和服务流程简略，对项目人员部署与岗位职责分工简略，勉强适用于本项目的得2.4分；方案所包含的要点有缺漏、未提供方案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4、质量保证措施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所提供的质量保证措施方案情况【包括但不限于①内容策划与审核、②宣传策略、③效果评估】，由评委进行评分：方案包含的要点齐全无缺漏项、内容与要点相符、各要点均有展开详细阐述、针对性强、可实施性高、切合项目实际情况的得3分；方案包含的要点齐全无缺漏项、针对性较强、可实施性较高，内容与要点相符且均有展开阐述，虽然没有特别具体但总体符合项目实际情况的得2.7分；方案包含的要点有缺漏或要点无缺漏但仅有纲要、内容简略、未展开详细阐述、基本能够适用于本项目的得2.4分；未提供方案的不得分。</w:t>
            </w:r>
          </w:p>
        </w:tc>
      </w:tr>
      <w:tr>
        <w:tc>
          <w:tcPr>
            <w:tcW w:type="dxa" w:w="3322"/>
          </w:tcPr>
          <w:p>
            <w:pPr>
              <w:pStyle w:val="null3"/>
              <w:jc w:val="left"/>
            </w:pPr>
            <w:r>
              <w:rPr>
                <w:rFonts w:ascii="仿宋_GB2312" w:hAnsi="仿宋_GB2312" w:cs="仿宋_GB2312" w:eastAsia="仿宋_GB2312"/>
              </w:rPr>
              <w:t>5、应急方案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应急预备方案情况【包括但不限于①应急响应机制、②成立应急响应小组、③危机公关应对】,由评委进行评分：方案包含的要点齐全无缺漏项、内容与要点相符、各要点均有展开详细阐述、针对性强、可实施性高、切合项目实际情况的得3分；方案包含的要点齐全无缺漏项、针对性较强、可实施性较高，内容与要点相符且均有展开阐述，虽然没有特别具体但总体符合项目实际情况的得2.7分；方案包含的要点有缺漏或要点无缺漏但仅有纲要、内容简略、未展开详细阐述、基本能够适用于本项目的得2.4分；未提供方案的不得分。</w:t>
            </w:r>
          </w:p>
        </w:tc>
      </w:tr>
      <w:tr>
        <w:tc>
          <w:tcPr>
            <w:tcW w:type="dxa" w:w="3322"/>
          </w:tcPr>
          <w:p>
            <w:pPr>
              <w:pStyle w:val="null3"/>
              <w:jc w:val="left"/>
            </w:pPr>
            <w:r>
              <w:rPr>
                <w:rFonts w:ascii="仿宋_GB2312" w:hAnsi="仿宋_GB2312" w:cs="仿宋_GB2312" w:eastAsia="仿宋_GB2312"/>
              </w:rPr>
              <w:t>6、审稿校对制度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发布的信息符合《国家新闻出版广电总局关于规范报刊单位及其所办新媒体采编管理的通知》和《互联网新闻信息服务管理规定》对新闻出版和互联网新闻发布的相关要求和标准的审稿校对制度的得3分，须提供承诺函（格式自拟），未提供的不得分。</w:t>
            </w:r>
          </w:p>
        </w:tc>
      </w:tr>
    </w:tbl>
    <w:p>
      <w:pPr>
        <w:pStyle w:val="null3"/>
        <w:jc w:val="left"/>
      </w:pPr>
      <w:r>
        <w:rPr>
          <w:rFonts w:ascii="仿宋_GB2312" w:hAnsi="仿宋_GB2312" w:cs="仿宋_GB2312" w:eastAsia="仿宋_GB2312"/>
        </w:rPr>
        <w:t>商务部分评分PB 满分为18.0000分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1、项目服务团队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针对项目需要，成立专门服务团队，团队中具备有一名新闻行业副高及以上职称的得3分；具备有一名新闻行业中级职称的得1分，满分3分。须提供人员相关职称复印件，未提供的不得分。注：与“4、人员配置”人员不重复得分。</w:t>
            </w:r>
          </w:p>
        </w:tc>
      </w:tr>
      <w:tr>
        <w:tc>
          <w:tcPr>
            <w:tcW w:type="dxa" w:w="3322"/>
          </w:tcPr>
          <w:p>
            <w:pPr>
              <w:pStyle w:val="null3"/>
              <w:jc w:val="left"/>
            </w:pPr>
            <w:r>
              <w:rPr>
                <w:rFonts w:ascii="仿宋_GB2312" w:hAnsi="仿宋_GB2312" w:cs="仿宋_GB2312" w:eastAsia="仿宋_GB2312"/>
              </w:rPr>
              <w:t>2、供应商实力1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供应商具有就业方面业务活动宣传经验的得3分，须提供证明材料（线上提供相关活动通知文件、宣传截图、网站链接；线下提供相关活动通知文件、宣传截图或活动现场照片），未提供不得分。</w:t>
            </w:r>
          </w:p>
        </w:tc>
      </w:tr>
      <w:tr>
        <w:tc>
          <w:tcPr>
            <w:tcW w:type="dxa" w:w="3322"/>
          </w:tcPr>
          <w:p>
            <w:pPr>
              <w:pStyle w:val="null3"/>
              <w:jc w:val="left"/>
            </w:pPr>
            <w:r>
              <w:rPr>
                <w:rFonts w:ascii="仿宋_GB2312" w:hAnsi="仿宋_GB2312" w:cs="仿宋_GB2312" w:eastAsia="仿宋_GB2312"/>
              </w:rPr>
              <w:t>3、供应商实力2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供应商有出版过就业宣传专刊成功案例的得3分，须提供相关样刊，未提供不得分。</w:t>
            </w:r>
          </w:p>
        </w:tc>
      </w:tr>
      <w:tr>
        <w:tc>
          <w:tcPr>
            <w:tcW w:type="dxa" w:w="3322"/>
          </w:tcPr>
          <w:p>
            <w:pPr>
              <w:pStyle w:val="null3"/>
              <w:jc w:val="left"/>
            </w:pPr>
            <w:r>
              <w:rPr>
                <w:rFonts w:ascii="仿宋_GB2312" w:hAnsi="仿宋_GB2312" w:cs="仿宋_GB2312" w:eastAsia="仿宋_GB2312"/>
              </w:rPr>
              <w:t>4、人员配置</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供应商的服务团队中，具有一年以上（含一年）就业编辑工作经验且具有副高及以上职称的得3分，须提供相关证明，未提供不得分。注：与“1、项目服务团队”人员不重复得分。</w:t>
            </w:r>
          </w:p>
        </w:tc>
      </w:tr>
      <w:tr>
        <w:tc>
          <w:tcPr>
            <w:tcW w:type="dxa" w:w="3322"/>
          </w:tcPr>
          <w:p>
            <w:pPr>
              <w:pStyle w:val="null3"/>
              <w:jc w:val="left"/>
            </w:pPr>
            <w:r>
              <w:rPr>
                <w:rFonts w:ascii="仿宋_GB2312" w:hAnsi="仿宋_GB2312" w:cs="仿宋_GB2312" w:eastAsia="仿宋_GB2312"/>
              </w:rPr>
              <w:t>5、获奖情况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的相关作品、团队或员工个人2019年01月01日至提交首次响应文件截止时间止，宣传就业获得由政府相关部门颁发的宣传类相关奖项的，每提供一份证书或奖项证明的得1.５分，满分3分。须提供证书或奖项证明复印件，未提供的不得分。</w:t>
            </w:r>
          </w:p>
        </w:tc>
      </w:tr>
      <w:tr>
        <w:tc>
          <w:tcPr>
            <w:tcW w:type="dxa" w:w="3322"/>
          </w:tcPr>
          <w:p>
            <w:pPr>
              <w:pStyle w:val="null3"/>
              <w:jc w:val="left"/>
            </w:pPr>
            <w:r>
              <w:rPr>
                <w:rFonts w:ascii="仿宋_GB2312" w:hAnsi="仿宋_GB2312" w:cs="仿宋_GB2312" w:eastAsia="仿宋_GB2312"/>
              </w:rPr>
              <w:t>6、响应承诺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根据供应商承诺在项目服务期内接到采购人需求通知后，能在2小时以内（含）到现场的得3分，2小时＜接通知后到达现场≤4小时到现场的得1分，其它情况不得分。须提供承诺函（格式自拟），否则不得分。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供应商的技术部分实际得分少于磋商文件设定的技术部分总分50%的，将被视为未实质性响应竞争性磋商文件规定，其响应文件将被否决；</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响应文件未按照磋商文件规定要求签署、盖章的；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属于磋商文件规定磋商小组应否决其投标的情形；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明显不符合技术规格、技术标准的要求；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违反磋商文件中载明“响应文件无效”（“响应无效/无效响应”）条款的规定或不符合磋商文件中规定的其它实质性条款，其响应无效。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磋商文件第三章“三、商务条件”中内容属于实质性要求，出现负偏离的，按无效处理；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响应文件未按照磋商文件规定要求签署、盖章的；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属于磋商文件规定磋商小组应否决其投标的情形；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违反磋商文件中载明“响应文件无效”（“响应无效/无效响应”）条款的规定或不符合磋商文件中规定的其它实质性条款，其响应无效。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供应商报价超过最高限价的；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小组认为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0"/>
        </w:rPr>
        <w:t>根据福州市开展</w:t>
      </w:r>
      <w:r>
        <w:rPr>
          <w:rFonts w:ascii="仿宋_GB2312" w:hAnsi="仿宋_GB2312" w:cs="仿宋_GB2312" w:eastAsia="仿宋_GB2312"/>
          <w:sz w:val="20"/>
        </w:rPr>
        <w:t>“百城联动、千村覆盖、万人响应”引工活动计划，充分发挥中国劳动保障报全国性平台其覆盖面广、影响力大、权威性强等特点，以</w:t>
      </w:r>
      <w:r>
        <w:rPr>
          <w:rFonts w:ascii="仿宋_GB2312" w:hAnsi="仿宋_GB2312" w:cs="仿宋_GB2312" w:eastAsia="仿宋_GB2312"/>
          <w:sz w:val="20"/>
        </w:rPr>
        <w:t>中西部</w:t>
      </w:r>
      <w:r>
        <w:rPr>
          <w:rFonts w:ascii="仿宋_GB2312" w:hAnsi="仿宋_GB2312" w:cs="仿宋_GB2312" w:eastAsia="仿宋_GB2312"/>
          <w:sz w:val="20"/>
        </w:rPr>
        <w:t>方向为主要目标方向，采取线下活动和线上传播相结合，通过纸媒、网媒、地推等全媒体融合推广，实现福州市招工引工优惠政策、企业用工信息广泛宣传覆盖，形成强大的宣传声势，达到招工引工的目的。</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0"/>
        </w:rPr>
        <w:t>（一）宣传目标：</w:t>
      </w:r>
    </w:p>
    <w:p>
      <w:pPr>
        <w:pStyle w:val="null3"/>
        <w:ind w:left="30" w:firstLine="400"/>
        <w:jc w:val="both"/>
      </w:pPr>
      <w:r>
        <w:rPr>
          <w:rFonts w:ascii="仿宋_GB2312" w:hAnsi="仿宋_GB2312" w:cs="仿宋_GB2312" w:eastAsia="仿宋_GB2312"/>
          <w:sz w:val="20"/>
        </w:rPr>
        <w:t>以</w:t>
      </w:r>
      <w:r>
        <w:rPr>
          <w:rFonts w:ascii="仿宋_GB2312" w:hAnsi="仿宋_GB2312" w:cs="仿宋_GB2312" w:eastAsia="仿宋_GB2312"/>
          <w:sz w:val="20"/>
        </w:rPr>
        <w:t>中西部</w:t>
      </w:r>
      <w:r>
        <w:rPr>
          <w:rFonts w:ascii="仿宋_GB2312" w:hAnsi="仿宋_GB2312" w:cs="仿宋_GB2312" w:eastAsia="仿宋_GB2312"/>
          <w:sz w:val="20"/>
        </w:rPr>
        <w:t>方向主要目标方向，围绕福州市与</w:t>
      </w:r>
      <w:r>
        <w:rPr>
          <w:rFonts w:ascii="仿宋_GB2312" w:hAnsi="仿宋_GB2312" w:cs="仿宋_GB2312" w:eastAsia="仿宋_GB2312"/>
          <w:sz w:val="20"/>
        </w:rPr>
        <w:t>中西部</w:t>
      </w:r>
      <w:r>
        <w:rPr>
          <w:rFonts w:ascii="仿宋_GB2312" w:hAnsi="仿宋_GB2312" w:cs="仿宋_GB2312" w:eastAsia="仿宋_GB2312"/>
          <w:sz w:val="20"/>
        </w:rPr>
        <w:t>地区</w:t>
      </w:r>
      <w:r>
        <w:rPr>
          <w:rFonts w:ascii="仿宋_GB2312" w:hAnsi="仿宋_GB2312" w:cs="仿宋_GB2312" w:eastAsia="仿宋_GB2312"/>
          <w:sz w:val="20"/>
        </w:rPr>
        <w:t>135</w:t>
      </w:r>
      <w:r>
        <w:rPr>
          <w:rFonts w:ascii="仿宋_GB2312" w:hAnsi="仿宋_GB2312" w:cs="仿宋_GB2312" w:eastAsia="仿宋_GB2312"/>
          <w:sz w:val="20"/>
        </w:rPr>
        <w:t>个市、县两级劳务协作基地为基础，覆盖劳务输出地</w:t>
      </w:r>
      <w:r>
        <w:rPr>
          <w:rFonts w:ascii="仿宋_GB2312" w:hAnsi="仿宋_GB2312" w:cs="仿宋_GB2312" w:eastAsia="仿宋_GB2312"/>
          <w:sz w:val="20"/>
        </w:rPr>
        <w:t>1000个村，最终达到超一百万人的宣传总覆盖面。（评审项1）</w:t>
      </w:r>
    </w:p>
    <w:p>
      <w:pPr>
        <w:pStyle w:val="null3"/>
        <w:ind w:firstLine="400"/>
        <w:jc w:val="both"/>
      </w:pPr>
      <w:r>
        <w:rPr>
          <w:rFonts w:ascii="仿宋_GB2312" w:hAnsi="仿宋_GB2312" w:cs="仿宋_GB2312" w:eastAsia="仿宋_GB2312"/>
          <w:sz w:val="20"/>
        </w:rPr>
        <w:t>★（二）宣传时间：</w:t>
      </w:r>
    </w:p>
    <w:p>
      <w:pPr>
        <w:pStyle w:val="null3"/>
        <w:ind w:firstLine="400"/>
        <w:jc w:val="both"/>
      </w:pPr>
      <w:r>
        <w:rPr>
          <w:rFonts w:ascii="仿宋_GB2312" w:hAnsi="仿宋_GB2312" w:cs="仿宋_GB2312" w:eastAsia="仿宋_GB2312"/>
          <w:sz w:val="20"/>
        </w:rPr>
        <w:t>2025年6月-11月</w:t>
      </w:r>
    </w:p>
    <w:p>
      <w:pPr>
        <w:pStyle w:val="null3"/>
        <w:ind w:firstLine="400"/>
        <w:jc w:val="both"/>
      </w:pPr>
      <w:r>
        <w:rPr>
          <w:rFonts w:ascii="仿宋_GB2312" w:hAnsi="仿宋_GB2312" w:cs="仿宋_GB2312" w:eastAsia="仿宋_GB2312"/>
          <w:sz w:val="20"/>
        </w:rPr>
        <w:t>（三）宣传形式</w:t>
      </w:r>
    </w:p>
    <w:p>
      <w:pPr>
        <w:pStyle w:val="null3"/>
        <w:ind w:left="30" w:right="45" w:firstLine="400"/>
        <w:jc w:val="both"/>
      </w:pPr>
      <w:r>
        <w:rPr>
          <w:rFonts w:ascii="仿宋_GB2312" w:hAnsi="仿宋_GB2312" w:cs="仿宋_GB2312" w:eastAsia="仿宋_GB2312"/>
          <w:sz w:val="20"/>
        </w:rPr>
        <w:t>1、纸媒体：</w:t>
      </w:r>
    </w:p>
    <w:p>
      <w:pPr>
        <w:pStyle w:val="null3"/>
        <w:ind w:left="30" w:right="45" w:firstLine="400"/>
        <w:jc w:val="both"/>
      </w:pPr>
      <w:r>
        <w:rPr>
          <w:rFonts w:ascii="仿宋_GB2312" w:hAnsi="仿宋_GB2312" w:cs="仿宋_GB2312" w:eastAsia="仿宋_GB2312"/>
          <w:sz w:val="20"/>
        </w:rPr>
        <w:t>1.1因政策类不容易改变，在权威媒体宣传可信度更强。需在国家级纸媒上做一期彩色专版，重点宣传福州的招工引工政策，同时穿插部分引工大使现身说法。（评审项2）</w:t>
      </w:r>
    </w:p>
    <w:p>
      <w:pPr>
        <w:pStyle w:val="null3"/>
        <w:ind w:left="30" w:right="45" w:firstLine="400"/>
        <w:jc w:val="both"/>
      </w:pPr>
      <w:r>
        <w:rPr>
          <w:rFonts w:ascii="仿宋_GB2312" w:hAnsi="仿宋_GB2312" w:cs="仿宋_GB2312" w:eastAsia="仿宋_GB2312"/>
          <w:sz w:val="20"/>
        </w:rPr>
        <w:t>1.2当期报纸加印10000份，重点分别送往</w:t>
      </w:r>
      <w:r>
        <w:rPr>
          <w:rFonts w:ascii="仿宋_GB2312" w:hAnsi="仿宋_GB2312" w:cs="仿宋_GB2312" w:eastAsia="仿宋_GB2312"/>
          <w:sz w:val="20"/>
        </w:rPr>
        <w:t>中西部</w:t>
      </w:r>
      <w:r>
        <w:rPr>
          <w:rFonts w:ascii="仿宋_GB2312" w:hAnsi="仿宋_GB2312" w:cs="仿宋_GB2312" w:eastAsia="仿宋_GB2312"/>
          <w:sz w:val="20"/>
        </w:rPr>
        <w:t>地区</w:t>
      </w:r>
      <w:r>
        <w:rPr>
          <w:rFonts w:ascii="仿宋_GB2312" w:hAnsi="仿宋_GB2312" w:cs="仿宋_GB2312" w:eastAsia="仿宋_GB2312"/>
          <w:sz w:val="20"/>
        </w:rPr>
        <w:t>135</w:t>
      </w:r>
      <w:r>
        <w:rPr>
          <w:rFonts w:ascii="仿宋_GB2312" w:hAnsi="仿宋_GB2312" w:cs="仿宋_GB2312" w:eastAsia="仿宋_GB2312"/>
          <w:sz w:val="20"/>
        </w:rPr>
        <w:t>个市、县两级劳务协作基地，由他们进一步向村级及在大型招聘上分发。（评审项</w:t>
      </w:r>
      <w:r>
        <w:rPr>
          <w:rFonts w:ascii="仿宋_GB2312" w:hAnsi="仿宋_GB2312" w:cs="仿宋_GB2312" w:eastAsia="仿宋_GB2312"/>
          <w:sz w:val="20"/>
        </w:rPr>
        <w:t>3）</w:t>
      </w:r>
    </w:p>
    <w:p>
      <w:pPr>
        <w:pStyle w:val="null3"/>
        <w:ind w:left="30" w:right="45" w:firstLine="400"/>
        <w:jc w:val="both"/>
      </w:pPr>
      <w:r>
        <w:rPr>
          <w:rFonts w:ascii="仿宋_GB2312" w:hAnsi="仿宋_GB2312" w:cs="仿宋_GB2312" w:eastAsia="仿宋_GB2312"/>
          <w:sz w:val="20"/>
        </w:rPr>
        <w:t>1.3对相关大型招聘活动进行宣传报道。（评审项4）</w:t>
      </w:r>
    </w:p>
    <w:p>
      <w:pPr>
        <w:pStyle w:val="null3"/>
        <w:ind w:left="30" w:right="45" w:firstLine="400"/>
        <w:jc w:val="both"/>
      </w:pPr>
      <w:r>
        <w:rPr>
          <w:rFonts w:ascii="仿宋_GB2312" w:hAnsi="仿宋_GB2312" w:cs="仿宋_GB2312" w:eastAsia="仿宋_GB2312"/>
          <w:sz w:val="20"/>
        </w:rPr>
        <w:t>2、网媒：</w:t>
      </w:r>
    </w:p>
    <w:p>
      <w:pPr>
        <w:pStyle w:val="null3"/>
        <w:ind w:left="30" w:right="45" w:firstLine="400"/>
        <w:jc w:val="both"/>
      </w:pPr>
      <w:r>
        <w:rPr>
          <w:rFonts w:ascii="仿宋_GB2312" w:hAnsi="仿宋_GB2312" w:cs="仿宋_GB2312" w:eastAsia="仿宋_GB2312"/>
          <w:sz w:val="20"/>
        </w:rPr>
        <w:t>2.1在国家级纸媒官微上定期发布福州企业招聘信息10次；（评审项5）</w:t>
      </w:r>
    </w:p>
    <w:p>
      <w:pPr>
        <w:pStyle w:val="null3"/>
        <w:ind w:left="30" w:right="45" w:firstLine="400"/>
        <w:jc w:val="both"/>
      </w:pPr>
      <w:r>
        <w:rPr>
          <w:rFonts w:ascii="仿宋_GB2312" w:hAnsi="仿宋_GB2312" w:cs="仿宋_GB2312" w:eastAsia="仿宋_GB2312"/>
          <w:sz w:val="20"/>
        </w:rPr>
        <w:t>2.2在报社官微及相关新媒体平台播放福州招工政策、企业、员工等介绍引工宣传片5次；（评审项6）</w:t>
      </w:r>
    </w:p>
    <w:p>
      <w:pPr>
        <w:pStyle w:val="null3"/>
        <w:ind w:left="30" w:right="45" w:firstLine="400"/>
        <w:jc w:val="both"/>
      </w:pPr>
      <w:r>
        <w:rPr>
          <w:rFonts w:ascii="仿宋_GB2312" w:hAnsi="仿宋_GB2312" w:cs="仿宋_GB2312" w:eastAsia="仿宋_GB2312"/>
          <w:sz w:val="20"/>
        </w:rPr>
        <w:t>2.3在中国劳动保障新闻网及报社其他新媒体平台跟进报道大型招聘会相关动态。（评审项7）</w:t>
      </w:r>
    </w:p>
    <w:p>
      <w:pPr>
        <w:pStyle w:val="null3"/>
        <w:ind w:left="30" w:right="45" w:firstLine="400"/>
        <w:jc w:val="both"/>
      </w:pPr>
      <w:r>
        <w:rPr>
          <w:rFonts w:ascii="仿宋_GB2312" w:hAnsi="仿宋_GB2312" w:cs="仿宋_GB2312" w:eastAsia="仿宋_GB2312"/>
          <w:sz w:val="20"/>
        </w:rPr>
        <w:t>3、直播带岗：</w:t>
      </w:r>
    </w:p>
    <w:p>
      <w:pPr>
        <w:pStyle w:val="null3"/>
        <w:ind w:left="30" w:right="45" w:firstLine="400"/>
        <w:jc w:val="both"/>
      </w:pPr>
      <w:r>
        <w:rPr>
          <w:rFonts w:ascii="仿宋_GB2312" w:hAnsi="仿宋_GB2312" w:cs="仿宋_GB2312" w:eastAsia="仿宋_GB2312"/>
          <w:sz w:val="20"/>
        </w:rPr>
        <w:t>组织开展</w:t>
      </w:r>
      <w:r>
        <w:rPr>
          <w:rFonts w:ascii="仿宋_GB2312" w:hAnsi="仿宋_GB2312" w:cs="仿宋_GB2312" w:eastAsia="仿宋_GB2312"/>
          <w:sz w:val="20"/>
        </w:rPr>
        <w:t>4期线上直播带岗（其中一期在开往</w:t>
      </w:r>
      <w:r>
        <w:rPr>
          <w:rFonts w:ascii="仿宋_GB2312" w:hAnsi="仿宋_GB2312" w:cs="仿宋_GB2312" w:eastAsia="仿宋_GB2312"/>
          <w:sz w:val="20"/>
        </w:rPr>
        <w:t>中西部</w:t>
      </w:r>
      <w:r>
        <w:rPr>
          <w:rFonts w:ascii="仿宋_GB2312" w:hAnsi="仿宋_GB2312" w:cs="仿宋_GB2312" w:eastAsia="仿宋_GB2312"/>
          <w:sz w:val="20"/>
        </w:rPr>
        <w:t>方向的列车上）；（评审项</w:t>
      </w:r>
      <w:r>
        <w:rPr>
          <w:rFonts w:ascii="仿宋_GB2312" w:hAnsi="仿宋_GB2312" w:cs="仿宋_GB2312" w:eastAsia="仿宋_GB2312"/>
          <w:sz w:val="20"/>
        </w:rPr>
        <w:t>8）</w:t>
      </w:r>
    </w:p>
    <w:p>
      <w:pPr>
        <w:pStyle w:val="null3"/>
        <w:ind w:left="30" w:right="45" w:firstLine="400"/>
        <w:jc w:val="both"/>
      </w:pPr>
      <w:r>
        <w:rPr>
          <w:rFonts w:ascii="仿宋_GB2312" w:hAnsi="仿宋_GB2312" w:cs="仿宋_GB2312" w:eastAsia="仿宋_GB2312"/>
          <w:sz w:val="20"/>
        </w:rPr>
        <w:t>线上直播带岗通过报社官微平台（待进一步沟通）向全国开展，同时，将相关微信关注及链接发给</w:t>
      </w:r>
      <w:r>
        <w:rPr>
          <w:rFonts w:ascii="仿宋_GB2312" w:hAnsi="仿宋_GB2312" w:cs="仿宋_GB2312" w:eastAsia="仿宋_GB2312"/>
          <w:sz w:val="20"/>
        </w:rPr>
        <w:t>中西部</w:t>
      </w:r>
      <w:r>
        <w:rPr>
          <w:rFonts w:ascii="仿宋_GB2312" w:hAnsi="仿宋_GB2312" w:cs="仿宋_GB2312" w:eastAsia="仿宋_GB2312"/>
          <w:sz w:val="20"/>
        </w:rPr>
        <w:t>地区</w:t>
      </w:r>
      <w:r>
        <w:rPr>
          <w:rFonts w:ascii="仿宋_GB2312" w:hAnsi="仿宋_GB2312" w:cs="仿宋_GB2312" w:eastAsia="仿宋_GB2312"/>
          <w:sz w:val="20"/>
        </w:rPr>
        <w:t>135</w:t>
      </w:r>
      <w:r>
        <w:rPr>
          <w:rFonts w:ascii="仿宋_GB2312" w:hAnsi="仿宋_GB2312" w:cs="仿宋_GB2312" w:eastAsia="仿宋_GB2312"/>
          <w:sz w:val="20"/>
        </w:rPr>
        <w:t>个市、县两级劳务协作基地，由各基地协助组织发动人员观看。（评审项</w:t>
      </w:r>
      <w:r>
        <w:rPr>
          <w:rFonts w:ascii="仿宋_GB2312" w:hAnsi="仿宋_GB2312" w:cs="仿宋_GB2312" w:eastAsia="仿宋_GB2312"/>
          <w:sz w:val="20"/>
        </w:rPr>
        <w:t>9）</w:t>
      </w:r>
    </w:p>
    <w:p>
      <w:pPr>
        <w:pStyle w:val="null3"/>
        <w:ind w:left="30" w:right="45" w:firstLine="400"/>
        <w:jc w:val="both"/>
      </w:pPr>
      <w:r>
        <w:rPr>
          <w:rFonts w:ascii="仿宋_GB2312" w:hAnsi="仿宋_GB2312" w:cs="仿宋_GB2312" w:eastAsia="仿宋_GB2312"/>
          <w:sz w:val="20"/>
        </w:rPr>
        <w:t>4、H5电子寻工地图：</w:t>
      </w:r>
    </w:p>
    <w:p>
      <w:pPr>
        <w:pStyle w:val="null3"/>
        <w:ind w:left="30" w:right="45" w:firstLine="400"/>
        <w:jc w:val="both"/>
      </w:pPr>
      <w:r>
        <w:rPr>
          <w:rFonts w:ascii="仿宋_GB2312" w:hAnsi="仿宋_GB2312" w:cs="仿宋_GB2312" w:eastAsia="仿宋_GB2312"/>
          <w:sz w:val="20"/>
        </w:rPr>
        <w:t>制作一个</w:t>
      </w:r>
      <w:r>
        <w:rPr>
          <w:rFonts w:ascii="仿宋_GB2312" w:hAnsi="仿宋_GB2312" w:cs="仿宋_GB2312" w:eastAsia="仿宋_GB2312"/>
          <w:sz w:val="20"/>
        </w:rPr>
        <w:t>H5电子寻工地图及相应的二维码，向目标地区进行推广，供求职者及时动态了解相关求职位置及岗位信息。（评审项10）</w:t>
      </w:r>
    </w:p>
    <w:p>
      <w:pPr>
        <w:pStyle w:val="null3"/>
        <w:ind w:left="30" w:right="45" w:firstLine="400"/>
        <w:jc w:val="both"/>
      </w:pPr>
      <w:r>
        <w:rPr>
          <w:rFonts w:ascii="仿宋_GB2312" w:hAnsi="仿宋_GB2312" w:cs="仿宋_GB2312" w:eastAsia="仿宋_GB2312"/>
          <w:sz w:val="20"/>
        </w:rPr>
        <w:t>★（四）验收方式</w:t>
      </w:r>
    </w:p>
    <w:p>
      <w:pPr>
        <w:pStyle w:val="null3"/>
        <w:ind w:right="45" w:firstLine="400"/>
        <w:jc w:val="both"/>
      </w:pPr>
      <w:r>
        <w:rPr>
          <w:rFonts w:ascii="仿宋_GB2312" w:hAnsi="仿宋_GB2312" w:cs="仿宋_GB2312" w:eastAsia="仿宋_GB2312"/>
          <w:sz w:val="20"/>
        </w:rPr>
        <w:t>通过对纸媒的覆盖面、网媒的点击率、直播带岗的收视率、</w:t>
      </w:r>
      <w:r>
        <w:rPr>
          <w:rFonts w:ascii="仿宋_GB2312" w:hAnsi="仿宋_GB2312" w:cs="仿宋_GB2312" w:eastAsia="仿宋_GB2312"/>
          <w:sz w:val="20"/>
        </w:rPr>
        <w:t>H5电子寻工地图的点击率等进行统计，达到超一百万人的宣传总覆盖面。</w:t>
      </w:r>
    </w:p>
    <w:p>
      <w:pPr>
        <w:pStyle w:val="null3"/>
        <w:ind w:firstLine="400"/>
        <w:jc w:val="left"/>
      </w:pPr>
      <w:r>
        <w:rPr>
          <w:rFonts w:ascii="仿宋_GB2312" w:hAnsi="仿宋_GB2312" w:cs="仿宋_GB2312" w:eastAsia="仿宋_GB2312"/>
          <w:sz w:val="20"/>
        </w:rPr>
        <w:t>（五）其他服务要求</w:t>
      </w:r>
    </w:p>
    <w:p>
      <w:pPr>
        <w:pStyle w:val="null3"/>
        <w:ind w:firstLine="400"/>
        <w:jc w:val="left"/>
      </w:pPr>
      <w:r>
        <w:rPr>
          <w:rFonts w:ascii="仿宋_GB2312" w:hAnsi="仿宋_GB2312" w:cs="仿宋_GB2312" w:eastAsia="仿宋_GB2312"/>
          <w:sz w:val="20"/>
        </w:rPr>
        <w:t>1、供应商须确保在工作中遵守意识形态工作纪律，话题内容版面绝不出现政治性、原则性问题，严格把关图文质量，保证文字的正确性、逻辑性和专业性。（评审项11）</w:t>
      </w:r>
    </w:p>
    <w:p>
      <w:pPr>
        <w:pStyle w:val="null3"/>
        <w:ind w:firstLine="400"/>
        <w:jc w:val="left"/>
      </w:pPr>
      <w:r>
        <w:rPr>
          <w:rFonts w:ascii="仿宋_GB2312" w:hAnsi="仿宋_GB2312" w:cs="仿宋_GB2312" w:eastAsia="仿宋_GB2312"/>
          <w:sz w:val="20"/>
        </w:rPr>
        <w:t>2、供应商要严格遵守信息发布保密审查规定和信息发布审核工作机制，所有发布信息均须经采购方相关负责人同意后方可对外发布，未经同意不得对已发布内容进行修改和删除。（评审项12）</w:t>
      </w:r>
    </w:p>
    <w:p>
      <w:pPr>
        <w:pStyle w:val="null3"/>
        <w:ind w:firstLine="400"/>
        <w:jc w:val="left"/>
      </w:pPr>
      <w:r>
        <w:rPr>
          <w:rFonts w:ascii="仿宋_GB2312" w:hAnsi="仿宋_GB2312" w:cs="仿宋_GB2312" w:eastAsia="仿宋_GB2312"/>
          <w:sz w:val="20"/>
        </w:rPr>
        <w:t>3、供应商在项目执行过程中，须全面落实采购人审核与修改意见，直至完全符合要求。（评审项13）</w:t>
      </w:r>
    </w:p>
    <w:p>
      <w:pPr>
        <w:pStyle w:val="null3"/>
        <w:ind w:firstLine="400"/>
        <w:jc w:val="left"/>
      </w:pPr>
      <w:r>
        <w:rPr>
          <w:rFonts w:ascii="仿宋_GB2312" w:hAnsi="仿宋_GB2312" w:cs="仿宋_GB2312" w:eastAsia="仿宋_GB2312"/>
          <w:sz w:val="20"/>
        </w:rPr>
        <w:t>4、 供应商要做好选题策划、图文编辑、排版美化等工作，要求采用文字、图片、音视频等多种表现形式。（评审项14）</w:t>
      </w:r>
    </w:p>
    <w:p>
      <w:pPr>
        <w:pStyle w:val="null3"/>
        <w:ind w:firstLine="400"/>
        <w:jc w:val="left"/>
      </w:pPr>
      <w:r>
        <w:rPr>
          <w:rFonts w:ascii="仿宋_GB2312" w:hAnsi="仿宋_GB2312" w:cs="仿宋_GB2312" w:eastAsia="仿宋_GB2312"/>
          <w:sz w:val="20"/>
        </w:rPr>
        <w:t>5、项目中涉及的文字、图片、音视频作品的版权归采购人所有,供应商参与制作的专业技术人员享有署名权。（评审项15）</w:t>
      </w:r>
    </w:p>
    <w:p>
      <w:pPr>
        <w:pStyle w:val="null3"/>
        <w:ind w:firstLine="400"/>
        <w:jc w:val="left"/>
      </w:pPr>
      <w:r>
        <w:rPr>
          <w:rFonts w:ascii="仿宋_GB2312" w:hAnsi="仿宋_GB2312" w:cs="仿宋_GB2312" w:eastAsia="仿宋_GB2312"/>
          <w:sz w:val="20"/>
        </w:rPr>
        <w:t>6、为采购人提供服务的团队及个人属供应商管理和负责，任何劳动和法律纠纷与采购人无关。（评审项16）</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紧扣福州市就业工作，应势或借势策划组织实施线上线下活动，提高与社会公众互动的效果，形成强大的宣传声势，达到招工引工的目的。</w:t>
      </w:r>
      <w:r>
        <w:rPr>
          <w:rFonts w:ascii="仿宋_GB2312" w:hAnsi="仿宋_GB2312" w:cs="仿宋_GB2312" w:eastAsia="仿宋_GB2312"/>
          <w:sz w:val="20"/>
        </w:rPr>
        <w:t>（评审项</w:t>
      </w:r>
      <w:r>
        <w:rPr>
          <w:rFonts w:ascii="仿宋_GB2312" w:hAnsi="仿宋_GB2312" w:cs="仿宋_GB2312" w:eastAsia="仿宋_GB2312"/>
          <w:sz w:val="20"/>
        </w:rPr>
        <w:t>17）</w:t>
      </w:r>
    </w:p>
    <w:p>
      <w:pPr>
        <w:pStyle w:val="null3"/>
        <w:ind w:firstLine="400"/>
        <w:jc w:val="left"/>
      </w:pPr>
      <w:r>
        <w:rPr>
          <w:rFonts w:ascii="仿宋_GB2312" w:hAnsi="仿宋_GB2312" w:cs="仿宋_GB2312" w:eastAsia="仿宋_GB2312"/>
          <w:sz w:val="20"/>
        </w:rPr>
        <w:t>8、运用新媒体技术设计推广，为企业提供用工服务和指导，架好企业用工与百姓就业的桥梁。</w:t>
      </w:r>
      <w:r>
        <w:rPr>
          <w:rFonts w:ascii="仿宋_GB2312" w:hAnsi="仿宋_GB2312" w:cs="仿宋_GB2312" w:eastAsia="仿宋_GB2312"/>
          <w:sz w:val="20"/>
        </w:rPr>
        <w:t>（评审项</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、在网络渠道推广中及时处理粉丝留言、定期排查网络负面信息，并及时整理反馈给采购人。（评审项</w:t>
      </w: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2025年11月30日前交付完成。</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验收合格后。</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1、期次1，说明：按竞争性磋商文件、成交人响应文件、合同规定。</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1、合同签订并收到成交供应商提供的发票后（具体时间以财政资金到账为准），达到付款条件起14日内，支付合同总金额的30.00%</w:t>
            </w:r>
          </w:p>
          <w:p>
            <w:pPr>
              <w:pStyle w:val="null3"/>
            </w:pPr>
            <w:r>
              <w:rPr>
                <w:rFonts w:ascii="仿宋_GB2312" w:hAnsi="仿宋_GB2312" w:cs="仿宋_GB2312" w:eastAsia="仿宋_GB2312"/>
              </w:rPr>
              <w:t>2、项目完成且通过验收并收到成交供应商提供的发票后（具体时间以财政资金到账为准），达到付款条件起14日内，支付合同总金额的70.00%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b/>
        </w:rPr>
        <w:t>8</w:t>
      </w:r>
      <w:r>
        <w:rPr>
          <w:rFonts w:ascii="仿宋_GB2312" w:hAnsi="仿宋_GB2312" w:cs="仿宋_GB2312" w:eastAsia="仿宋_GB2312"/>
          <w:sz w:val="20"/>
          <w:b/>
        </w:rPr>
        <w:t>.违约责任</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1）因成交人原因造成采购合同无法按时签订，视为成交人违约，成交人违约对采购人造成损失的，需另行支付相应的赔偿。</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2）在签定采购合同之后，成交人要求解除合同的，视为成交人违约，对采购人造成损失的，成交人需支付相应的赔偿。</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3）因成交人原因发生重大质量事故，除依约承担赔偿责任外，还将按有关质量管理办法规定执行。同时，采购人有权保留更换成交人的权利，并报相关行政主管部门处罚。</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shd w:fill="FFFFFF" w:val="clear"/>
        </w:rPr>
        <w:t>除上述具体违约情形外，成交人出现违反采购文件、成交人响应文件要求的其他行为，每发现一次需向采购人支付违约金</w:t>
      </w:r>
      <w:r>
        <w:rPr>
          <w:rFonts w:ascii="仿宋_GB2312" w:hAnsi="仿宋_GB2312" w:cs="仿宋_GB2312" w:eastAsia="仿宋_GB2312"/>
          <w:sz w:val="20"/>
          <w:shd w:fill="FFFFFF" w:val="clear"/>
        </w:rPr>
        <w:t>1000元。</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6）在明确违约责任后，成交人应在接到书面通知书起七天内支付违约金、赔偿金等。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b/>
        </w:rPr>
        <w:t>9</w:t>
      </w:r>
      <w:r>
        <w:rPr>
          <w:rFonts w:ascii="仿宋_GB2312" w:hAnsi="仿宋_GB2312" w:cs="仿宋_GB2312" w:eastAsia="仿宋_GB2312"/>
          <w:sz w:val="20"/>
          <w:b/>
        </w:rPr>
        <w:t>.知识产权</w:t>
      </w:r>
    </w:p>
    <w:p>
      <w:pPr>
        <w:pStyle w:val="null3"/>
        <w:ind w:firstLine="400"/>
      </w:pPr>
      <w:r>
        <w:rPr>
          <w:rFonts w:ascii="仿宋_GB2312" w:hAnsi="仿宋_GB2312" w:cs="仿宋_GB2312" w:eastAsia="仿宋_GB2312"/>
          <w:sz w:val="20"/>
        </w:rPr>
        <w:t>供应商须保障采购人在使用方案或其任何一部分时不受到第三方关于侵犯专利权、商标权或工业设计权等知识产权的指控与纠纷。如果任何第三方提出侵权指控，均与采购人无关，供应商须与第三方交涉并承担可能发生的责任与一切费用。如采购人因此而遭致损失的，供应商应赔偿该损失。</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2.1本项目不允许成交人以任何名义和理由在成交后将成交项目的主体、非主体、关键性工作、非关键性工作进行分包、转包，在履行合同过程中如有发现，采购人有权单方终止合同。视为成交人违约，成交人违约对采购人造成的损失的，需另行支付相应的赔偿，并追究相关法律责任。 2.2本磋商文件未明确的其它约定事项或条款，待采购人与成交人签订合同时，由双方协商订立。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[350101]FJSXY[CS]2025003-1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“百城联动、千村覆盖、万人响应”引工宣传(二次)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1(“百城联动、千村覆盖、万人响应”引工宣传)</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“百城联动、千村覆盖、万人响应”引工宣传</w:t>
            </w:r>
          </w:p>
        </w:tc>
        <w:tc>
          <w:tcPr>
            <w:tcW w:type="dxa" w:w="1661"/>
          </w:tcPr>
          <w:p>
            <w:pPr>
              <w:pStyle w:val="null3"/>
              <w:jc w:val="left"/>
            </w:pPr>
            <w:r>
              <w:rPr>
                <w:rFonts w:ascii="仿宋_GB2312" w:hAnsi="仿宋_GB2312" w:cs="仿宋_GB2312" w:eastAsia="仿宋_GB2312"/>
              </w:rPr>
              <w:t xml:space="preserve"> 492000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[350101]FJSXY[CS]2025003-1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“百城联动、千村覆盖、万人响应”引工宣传(二次)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“百城联动、千村覆盖、万人响应”引工宣传</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“百城联动、千村覆盖、万人响应”引工宣传</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“百城联动、千村覆盖、万人响应”引工宣传</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492000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